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3452466D" w:rsidR="00F422D3" w:rsidRDefault="00F422D3" w:rsidP="00B42F40">
      <w:pPr>
        <w:pStyle w:val="Titul2"/>
      </w:pPr>
      <w:r>
        <w:t>Název zakázky: „</w:t>
      </w:r>
      <w:r w:rsidR="00493B4F">
        <w:t>Chemické hubení nežádoucí vegetace v obvodu ST Č. Budějovice 2020</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AD3099">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4E0660C5" w:rsidR="00024CEA" w:rsidRDefault="00024CEA" w:rsidP="00024CEA">
      <w:pPr>
        <w:pStyle w:val="Textbezodsazen"/>
        <w:spacing w:after="0"/>
      </w:pPr>
      <w:r>
        <w:t xml:space="preserve">číslo veřejné zakázky: </w:t>
      </w:r>
      <w:r w:rsidR="00AD3099" w:rsidRPr="00AD3099">
        <w:t>65420134</w:t>
      </w:r>
    </w:p>
    <w:p w14:paraId="24579F39" w14:textId="46F452F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756D35A" w14:textId="77777777" w:rsidR="00F24489" w:rsidRPr="00D32554" w:rsidRDefault="00F24489" w:rsidP="00F24489">
      <w:pPr>
        <w:pStyle w:val="Nadpis1-1"/>
      </w:pPr>
      <w:bookmarkStart w:id="0" w:name="_GoBack"/>
      <w:bookmarkEnd w:id="0"/>
      <w:r w:rsidRPr="00F24489">
        <w:lastRenderedPageBreak/>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7F9E22FE"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00AD3099">
        <w:t xml:space="preserve">23. 4. 2020 </w:t>
      </w:r>
      <w:r w:rsidRPr="00EE756F">
        <w:t>pod evidenčním číslem</w:t>
      </w:r>
      <w:r w:rsidR="00AD3099">
        <w:t xml:space="preserve"> VZ</w:t>
      </w:r>
      <w:r w:rsidRPr="00EE756F">
        <w:t xml:space="preserve"> </w:t>
      </w:r>
      <w:r w:rsidR="00AD3099">
        <w:t xml:space="preserve">65420134 </w:t>
      </w:r>
      <w:r w:rsidRPr="00EE756F">
        <w:t xml:space="preserve">svůj úmysl zadat ve výběrovém řízení veřejnou zakázku s názvem </w:t>
      </w:r>
      <w:r w:rsidR="00D63964">
        <w:rPr>
          <w:b/>
        </w:rPr>
        <w:t>„Chemické hubení nežádoucí vegetace v obvodu ST Č. Budějovice 2020</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321679FB" w14:textId="198A5B4E" w:rsidR="00BA5CC3" w:rsidRPr="00C7674A" w:rsidRDefault="00493B4F" w:rsidP="00BA5CC3">
      <w:pPr>
        <w:pStyle w:val="Textbezslovn"/>
      </w:pPr>
      <w:r w:rsidRPr="00AD3099">
        <w:t xml:space="preserve"> </w:t>
      </w:r>
      <w:r w:rsidR="00BA5CC3" w:rsidRPr="00AD3099">
        <w:t xml:space="preserve">(Rozpis Ceny Služby dle jednotlivých položek je uveden v Příloze č. </w:t>
      </w:r>
      <w:r w:rsidR="0081296F" w:rsidRPr="00AD3099">
        <w:t>3</w:t>
      </w:r>
      <w:r w:rsidR="00BA5CC3" w:rsidRPr="00AD3099">
        <w:t xml:space="preserve"> této Smlouvy).</w:t>
      </w:r>
    </w:p>
    <w:p w14:paraId="4871D69E" w14:textId="450BA0EF" w:rsidR="00BA5CC3" w:rsidRPr="00C7674A" w:rsidRDefault="00BA5CC3" w:rsidP="00BA5CC3">
      <w:pPr>
        <w:pStyle w:val="Textbezslovn"/>
      </w:pP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75B27CC4" w:rsidR="00BA5CC3" w:rsidRPr="00C7674A" w:rsidRDefault="00BA5CC3" w:rsidP="00BA5CC3">
      <w:pPr>
        <w:pStyle w:val="RLTextlnkuslovan"/>
      </w:pPr>
      <w:r w:rsidRPr="00C7674A">
        <w:t xml:space="preserve">Zakázka nepodléhá režimu přenesené daňové povinnosti. Jedná se o zařazení do klasifikace CZ-CPA: </w:t>
      </w:r>
      <w:r w:rsidR="00493B4F" w:rsidRPr="00493B4F">
        <w:t>81.30</w:t>
      </w:r>
      <w:r w:rsidRPr="00493B4F">
        <w:t>.</w:t>
      </w:r>
    </w:p>
    <w:p w14:paraId="2A398A82" w14:textId="7E9AD644" w:rsidR="00BA5CC3" w:rsidRPr="00AD3099" w:rsidRDefault="00BA5CC3" w:rsidP="00BA5CC3">
      <w:pPr>
        <w:pStyle w:val="RLTextlnkuslovan"/>
        <w:rPr>
          <w:highlight w:val="yellow"/>
        </w:rPr>
      </w:pPr>
      <w:r w:rsidRPr="00AD3099">
        <w:rPr>
          <w:rFonts w:cs="Arial"/>
          <w:highlight w:val="yellow"/>
        </w:rPr>
        <w:t>V případě, že se jedná o společnost více dodavatelů:</w:t>
      </w:r>
    </w:p>
    <w:p w14:paraId="7C8366E1" w14:textId="3F2D1509" w:rsidR="00BA5CC3" w:rsidRPr="00C7674A" w:rsidRDefault="00BA5CC3" w:rsidP="00BA5CC3">
      <w:pPr>
        <w:ind w:left="426" w:firstLine="283"/>
        <w:jc w:val="both"/>
        <w:rPr>
          <w:rFonts w:cs="Arial"/>
        </w:rPr>
      </w:pPr>
      <w:r w:rsidRPr="00AD3099">
        <w:rPr>
          <w:rFonts w:cs="Arial"/>
          <w:highlight w:val="yellow"/>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 xml:space="preserve">Smluvní strany se dohodly, že stane-li se Zhotovitel nespolehlivým plátcem, ve smyslu </w:t>
      </w:r>
      <w:proofErr w:type="spellStart"/>
      <w:r w:rsidRPr="00C7674A">
        <w:t>ust</w:t>
      </w:r>
      <w:proofErr w:type="spellEnd"/>
      <w:r w:rsidRPr="00C7674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19F38307" w14:textId="3C2DE9B2" w:rsidR="00BA5CC3" w:rsidRPr="00C7674A" w:rsidRDefault="00BA5CC3" w:rsidP="00B54DB1">
      <w:pPr>
        <w:pStyle w:val="Text1-1"/>
        <w:numPr>
          <w:ilvl w:val="1"/>
          <w:numId w:val="9"/>
        </w:numPr>
      </w:pPr>
      <w:r w:rsidRPr="00C7674A">
        <w:t xml:space="preserve">Lhůta pro dokončení provedení Služby je </w:t>
      </w:r>
      <w:r w:rsidR="00D63964">
        <w:t>30. 9. 2020</w:t>
      </w:r>
      <w:r w:rsidRPr="00C7674A">
        <w:t xml:space="preserve"> ode dne zahájení plnění veřejné zakázky. </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proofErr w:type="spellStart"/>
      <w:r w:rsidRPr="00C7674A">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64257F3A" w14:textId="2DE6135A" w:rsidR="00671778" w:rsidRPr="008335E4" w:rsidRDefault="00671778" w:rsidP="007B5459">
      <w:pPr>
        <w:ind w:left="709" w:hanging="709"/>
        <w:jc w:val="both"/>
        <w:rPr>
          <w:rFonts w:cs="Arial"/>
        </w:rPr>
      </w:pPr>
      <w:r w:rsidRPr="00AD3099">
        <w:rPr>
          <w:rFonts w:cs="Arial"/>
          <w:highlight w:val="yellow"/>
        </w:rPr>
        <w:t xml:space="preserve">6.1 </w:t>
      </w:r>
      <w:r w:rsidR="007B5459" w:rsidRPr="00AD3099">
        <w:rPr>
          <w:rFonts w:cs="Arial"/>
          <w:highlight w:val="yellow"/>
        </w:rPr>
        <w:tab/>
      </w:r>
      <w:r w:rsidRPr="00AD3099">
        <w:rPr>
          <w:rFonts w:cs="Arial"/>
          <w:highlight w:val="yellow"/>
        </w:rPr>
        <w:t xml:space="preserve">Zhotovitel v souladu se svou nabídkou prodlužuje délku záruky stanovenou ve Všeobecných obchodních podmínkách na část služeb o </w:t>
      </w:r>
      <w:proofErr w:type="spellStart"/>
      <w:r w:rsidRPr="00AD3099">
        <w:rPr>
          <w:rFonts w:cs="Arial"/>
          <w:highlight w:val="yellow"/>
        </w:rPr>
        <w:t>xx</w:t>
      </w:r>
      <w:proofErr w:type="spellEnd"/>
      <w:r w:rsidRPr="00AD3099">
        <w:rPr>
          <w:rFonts w:cs="Arial"/>
          <w:highlight w:val="yellow"/>
        </w:rPr>
        <w:t xml:space="preserve"> měsíců.</w:t>
      </w:r>
    </w:p>
    <w:p w14:paraId="20155C4A" w14:textId="08CC33AF" w:rsidR="007B5459" w:rsidRPr="008335E4" w:rsidRDefault="00671778" w:rsidP="007B5459">
      <w:pPr>
        <w:ind w:left="709" w:hanging="709"/>
        <w:jc w:val="both"/>
        <w:rPr>
          <w:rFonts w:cs="Arial"/>
          <w:i/>
          <w:color w:val="00B050"/>
        </w:rPr>
      </w:pPr>
      <w:r w:rsidRPr="008335E4">
        <w:rPr>
          <w:rFonts w:cs="Arial"/>
        </w:rPr>
        <w:t xml:space="preserve">6.2 </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lastRenderedPageBreak/>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AD3099">
        <w:rPr>
          <w:b/>
          <w:highlight w:val="yellow"/>
        </w:rPr>
        <w:fldChar w:fldCharType="begin"/>
      </w:r>
      <w:r w:rsidRPr="00AD3099">
        <w:rPr>
          <w:b/>
          <w:highlight w:val="yellow"/>
        </w:rPr>
        <w:instrText xml:space="preserve"> MACROBUTTON  VložitŠirokouMezeru "[VLOŽÍ ZHOTOVITEL]" </w:instrText>
      </w:r>
      <w:r w:rsidRPr="00AD3099">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AD3099">
        <w:rPr>
          <w:b/>
          <w:highlight w:val="yellow"/>
        </w:rPr>
        <w:fldChar w:fldCharType="begin"/>
      </w:r>
      <w:r w:rsidRPr="00AD3099">
        <w:rPr>
          <w:b/>
          <w:highlight w:val="yellow"/>
        </w:rPr>
        <w:instrText xml:space="preserve"> MACROBUTTON  VložitŠirokouMezeru "[VLOŽÍ ZHOTOVITEL]" </w:instrText>
      </w:r>
      <w:r w:rsidRPr="00AD3099">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D63964">
        <w:trPr>
          <w:jc w:val="center"/>
        </w:trPr>
        <w:tc>
          <w:tcPr>
            <w:tcW w:w="1599" w:type="pct"/>
          </w:tcPr>
          <w:p w14:paraId="29C0FEEF" w14:textId="77777777" w:rsidR="00024CEA" w:rsidRPr="008A5A95" w:rsidRDefault="00B54DB1"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D63964">
        <w:trPr>
          <w:jc w:val="center"/>
        </w:trPr>
        <w:tc>
          <w:tcPr>
            <w:tcW w:w="1599" w:type="pct"/>
          </w:tcPr>
          <w:p w14:paraId="0045997F" w14:textId="77777777" w:rsidR="00024CEA" w:rsidRPr="008A5A95" w:rsidRDefault="00B54DB1"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AD3099" w:rsidRDefault="006D4362" w:rsidP="00024CEA">
            <w:pPr>
              <w:pStyle w:val="Textbezslovn"/>
              <w:ind w:hanging="556"/>
            </w:pPr>
            <w:r w:rsidRPr="00AD3099">
              <w:t>Všeobecné t</w:t>
            </w:r>
            <w:r w:rsidR="00024CEA" w:rsidRPr="00AD3099">
              <w:t xml:space="preserve">echnické podmínky: </w:t>
            </w:r>
          </w:p>
          <w:p w14:paraId="3EEC155D" w14:textId="0C89E843" w:rsidR="007C7E79" w:rsidRPr="008A5A95" w:rsidRDefault="007C7E79" w:rsidP="00AD3099">
            <w:pPr>
              <w:pStyle w:val="Textbezslovn"/>
              <w:ind w:hanging="556"/>
            </w:pPr>
            <w:r>
              <w:t>Technická zpráva – vloží objednatel</w:t>
            </w:r>
          </w:p>
        </w:tc>
      </w:tr>
      <w:tr w:rsidR="008A5A95" w:rsidRPr="008A5A95" w14:paraId="0B7AA3A7" w14:textId="77777777" w:rsidTr="00D63964">
        <w:trPr>
          <w:jc w:val="center"/>
        </w:trPr>
        <w:tc>
          <w:tcPr>
            <w:tcW w:w="1599" w:type="pct"/>
          </w:tcPr>
          <w:p w14:paraId="420BDAF3" w14:textId="674E65C2" w:rsidR="00024CEA" w:rsidRPr="008A5A95" w:rsidRDefault="00B54DB1"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00B429AA" w:rsidR="00024CEA" w:rsidRPr="008A5A95" w:rsidRDefault="00024CEA" w:rsidP="008A5A95">
            <w:pPr>
              <w:pStyle w:val="Textbezslovn"/>
              <w:ind w:hanging="556"/>
            </w:pPr>
            <w:r w:rsidRPr="00AD3099">
              <w:t xml:space="preserve">Rozpis Ceny </w:t>
            </w:r>
            <w:r w:rsidR="008A5A95" w:rsidRPr="00AD3099">
              <w:t>Služeb</w:t>
            </w:r>
            <w:r w:rsidR="004A70C6" w:rsidRPr="00AD3099">
              <w:t xml:space="preserve"> nebo Formulář cenové nabídky</w:t>
            </w:r>
          </w:p>
        </w:tc>
      </w:tr>
      <w:tr w:rsidR="00D63964" w:rsidRPr="00671778" w14:paraId="45FDECD5" w14:textId="77777777" w:rsidTr="00D63964">
        <w:trPr>
          <w:jc w:val="center"/>
        </w:trPr>
        <w:tc>
          <w:tcPr>
            <w:tcW w:w="1599" w:type="pct"/>
          </w:tcPr>
          <w:p w14:paraId="46A9627C" w14:textId="56A037F4" w:rsidR="00D63964" w:rsidRDefault="00D63964" w:rsidP="00493B4F">
            <w:pPr>
              <w:pStyle w:val="Textbezslovn"/>
              <w:rPr>
                <w:u w:val="single"/>
              </w:rPr>
            </w:pPr>
            <w:r>
              <w:rPr>
                <w:u w:val="single"/>
              </w:rPr>
              <w:lastRenderedPageBreak/>
              <w:t>Příloha č. 4</w:t>
            </w:r>
            <w:r w:rsidRPr="0021512B">
              <w:rPr>
                <w:u w:val="single"/>
              </w:rPr>
              <w:t>:</w:t>
            </w:r>
          </w:p>
        </w:tc>
        <w:tc>
          <w:tcPr>
            <w:tcW w:w="3401" w:type="pct"/>
          </w:tcPr>
          <w:p w14:paraId="6B340703" w14:textId="24D55637" w:rsidR="00D63964" w:rsidRPr="00AB2CFC" w:rsidRDefault="00D63964" w:rsidP="006D4362">
            <w:pPr>
              <w:pStyle w:val="Textbezslovn"/>
              <w:tabs>
                <w:tab w:val="left" w:pos="4383"/>
              </w:tabs>
              <w:ind w:hanging="556"/>
            </w:pPr>
            <w:r>
              <w:t>Harmonogram - NEOBSAZENO</w:t>
            </w:r>
          </w:p>
        </w:tc>
      </w:tr>
      <w:tr w:rsidR="00024CEA" w:rsidRPr="00671778" w14:paraId="31B5559B" w14:textId="77777777" w:rsidTr="00D63964">
        <w:trPr>
          <w:jc w:val="center"/>
        </w:trPr>
        <w:tc>
          <w:tcPr>
            <w:tcW w:w="1599" w:type="pct"/>
          </w:tcPr>
          <w:p w14:paraId="5F909CE6" w14:textId="267E4483" w:rsidR="00024CEA" w:rsidRPr="0021512B" w:rsidRDefault="004464BA" w:rsidP="00493B4F">
            <w:pPr>
              <w:pStyle w:val="Textbezslovn"/>
              <w:rPr>
                <w:u w:val="single"/>
              </w:rPr>
            </w:pPr>
            <w:r>
              <w:rPr>
                <w:u w:val="single"/>
              </w:rPr>
              <w:t xml:space="preserve">Příloha č. </w:t>
            </w:r>
            <w:r w:rsidR="00D63964">
              <w:rPr>
                <w:u w:val="single"/>
              </w:rPr>
              <w:t>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D63964">
        <w:trPr>
          <w:jc w:val="center"/>
        </w:trPr>
        <w:tc>
          <w:tcPr>
            <w:tcW w:w="1599" w:type="pct"/>
          </w:tcPr>
          <w:p w14:paraId="14A1E39E" w14:textId="5938651E" w:rsidR="00024CEA" w:rsidRPr="0021512B" w:rsidRDefault="004464BA" w:rsidP="00493B4F">
            <w:pPr>
              <w:pStyle w:val="Textbezslovn"/>
              <w:rPr>
                <w:u w:val="single"/>
              </w:rPr>
            </w:pPr>
            <w:r>
              <w:rPr>
                <w:u w:val="single"/>
              </w:rPr>
              <w:t xml:space="preserve">Příloha č. </w:t>
            </w:r>
            <w:r w:rsidR="00D63964">
              <w:rPr>
                <w:u w:val="single"/>
              </w:rPr>
              <w:t>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D63964">
        <w:trPr>
          <w:jc w:val="center"/>
        </w:trPr>
        <w:tc>
          <w:tcPr>
            <w:tcW w:w="1599" w:type="pct"/>
          </w:tcPr>
          <w:p w14:paraId="176D65E6" w14:textId="04C63279" w:rsidR="00024CEA" w:rsidRPr="0021512B" w:rsidRDefault="004464BA" w:rsidP="00493B4F">
            <w:pPr>
              <w:pStyle w:val="Textbezslovn"/>
              <w:rPr>
                <w:u w:val="single"/>
              </w:rPr>
            </w:pPr>
            <w:r>
              <w:rPr>
                <w:u w:val="single"/>
              </w:rPr>
              <w:t xml:space="preserve">Příloha č. </w:t>
            </w:r>
            <w:r w:rsidR="00D63964">
              <w:rPr>
                <w:u w:val="single"/>
              </w:rPr>
              <w:t>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D63964">
        <w:trPr>
          <w:jc w:val="center"/>
        </w:trPr>
        <w:tc>
          <w:tcPr>
            <w:tcW w:w="1599" w:type="pct"/>
          </w:tcPr>
          <w:p w14:paraId="47260898" w14:textId="54EC4B1F" w:rsidR="00024CEA" w:rsidRPr="008A5A95" w:rsidRDefault="004464BA" w:rsidP="00493B4F">
            <w:pPr>
              <w:pStyle w:val="Textbezslovn"/>
              <w:rPr>
                <w:u w:val="single"/>
              </w:rPr>
            </w:pPr>
            <w:r>
              <w:rPr>
                <w:u w:val="single"/>
              </w:rPr>
              <w:t xml:space="preserve">Příloha č. </w:t>
            </w:r>
            <w:r w:rsidR="00D63964">
              <w:rPr>
                <w:u w:val="single"/>
              </w:rPr>
              <w:t>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574804D7" w14:textId="0EFF3FCD" w:rsidR="00E463D2" w:rsidRPr="008B7737" w:rsidRDefault="00820EFF" w:rsidP="00AD3099">
      <w:pPr>
        <w:pStyle w:val="Odstavec1-1a"/>
        <w:numPr>
          <w:ilvl w:val="0"/>
          <w:numId w:val="0"/>
        </w:numPr>
        <w:ind w:left="1077"/>
        <w:rPr>
          <w:highlight w:val="green"/>
        </w:rPr>
      </w:pPr>
      <w:r w:rsidRPr="00AD3099">
        <w:t>Technická zpráva</w:t>
      </w:r>
      <w:r w:rsidR="00E463D2" w:rsidRPr="00AD3099">
        <w:t xml:space="preserve"> </w:t>
      </w:r>
      <w:r w:rsidR="00E463D2" w:rsidRPr="008B7737">
        <w:rPr>
          <w:highlight w:val="green"/>
        </w:rPr>
        <w:fldChar w:fldCharType="begin"/>
      </w:r>
      <w:r w:rsidR="00E463D2" w:rsidRPr="008B7737">
        <w:rPr>
          <w:highlight w:val="green"/>
        </w:rPr>
        <w:instrText xml:space="preserve"> MACROBUTTON  VložitŠirokouMezeru "[VLOŽÍ OBJEDNATEL]" </w:instrText>
      </w:r>
      <w:r w:rsidR="00E463D2"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59148CF9" w:rsidR="00CB6E4C" w:rsidRDefault="00CB6E4C" w:rsidP="00CB6E4C">
      <w:pPr>
        <w:pStyle w:val="Nadpisbezsl1-1"/>
      </w:pPr>
      <w:r w:rsidRPr="00B54DB1">
        <w:lastRenderedPageBreak/>
        <w:t>Příloha č. 4</w:t>
      </w:r>
      <w:r w:rsidR="00493B4F" w:rsidRPr="00B54DB1">
        <w:t xml:space="preserve"> – není požadován</w:t>
      </w:r>
      <w:r w:rsidR="00B54DB1" w:rsidRPr="00B54DB1">
        <w:t>A</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745ADAE6" w:rsidR="00AD3099" w:rsidRDefault="00AD3099">
      <w:pPr>
        <w:rPr>
          <w:rFonts w:asciiTheme="majorHAnsi" w:hAnsiTheme="majorHAnsi"/>
          <w:b/>
          <w:caps/>
          <w:sz w:val="22"/>
        </w:rPr>
      </w:pPr>
      <w:r>
        <w:br w:type="page"/>
      </w: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3BB6A84A" w:rsidR="00ED29F1" w:rsidRPr="00F95FBD" w:rsidRDefault="00405C6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6AA5FE73" w:rsidR="00ED29F1" w:rsidRPr="00F95FBD" w:rsidRDefault="00405C6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05C6D">
              <w:rPr>
                <w:sz w:val="18"/>
              </w:rPr>
              <w:t>Sušická 1168/23</w:t>
            </w:r>
            <w:r>
              <w:rPr>
                <w:sz w:val="18"/>
              </w:rPr>
              <w:t>, Plzeň, 326 00</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0C453A0D" w:rsidR="00ED29F1" w:rsidRPr="00F95FBD" w:rsidRDefault="00405C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2CF35C25" w:rsidR="00ED29F1" w:rsidRPr="00F95FBD" w:rsidRDefault="00405C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+420 972 524 499</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1C6DCA3E" w:rsidR="00ED29F1" w:rsidRPr="00F95FBD" w:rsidRDefault="002F560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Hůrka</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31052672" w:rsidR="00ED29F1" w:rsidRPr="00F95FBD" w:rsidRDefault="002F560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F5604">
              <w:rPr>
                <w:sz w:val="18"/>
              </w:rPr>
              <w:t>A. Trägera 90</w:t>
            </w:r>
            <w:r>
              <w:rPr>
                <w:sz w:val="18"/>
              </w:rPr>
              <w:t>, České Budějovice, 370 10</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18EA0189" w:rsidR="00ED29F1" w:rsidRPr="00F95FBD" w:rsidRDefault="002F560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HurkaT@szdc.cz</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0FA03223" w:rsidR="00ED29F1" w:rsidRPr="00F95FBD" w:rsidRDefault="002F560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+420 972 544 461</w:t>
            </w:r>
          </w:p>
        </w:tc>
      </w:tr>
    </w:tbl>
    <w:p w14:paraId="05913C08" w14:textId="77777777" w:rsidR="00ED29F1" w:rsidRPr="00F95FBD" w:rsidRDefault="00ED29F1" w:rsidP="00ED29F1">
      <w:pPr>
        <w:pStyle w:val="Textbezodsazen"/>
      </w:pPr>
    </w:p>
    <w:p w14:paraId="2BC031C6" w14:textId="78D16762" w:rsidR="00ED29F1" w:rsidRDefault="00ED29F1" w:rsidP="00ED29F1">
      <w:pPr>
        <w:pStyle w:val="Textbezodsazen"/>
      </w:pPr>
    </w:p>
    <w:p w14:paraId="147808C0" w14:textId="4239412E" w:rsidR="00291318" w:rsidRDefault="00291318" w:rsidP="00ED29F1">
      <w:pPr>
        <w:pStyle w:val="Textbezodsazen"/>
      </w:pPr>
    </w:p>
    <w:p w14:paraId="298662D2" w14:textId="3613CF14" w:rsidR="00291318" w:rsidRDefault="00291318" w:rsidP="00ED29F1">
      <w:pPr>
        <w:pStyle w:val="Textbezodsazen"/>
      </w:pPr>
    </w:p>
    <w:p w14:paraId="30FC0583" w14:textId="25E79064" w:rsidR="00291318" w:rsidRDefault="00291318" w:rsidP="00ED29F1">
      <w:pPr>
        <w:pStyle w:val="Textbezodsazen"/>
      </w:pPr>
    </w:p>
    <w:p w14:paraId="3F9B0A72" w14:textId="388C91BD" w:rsidR="00291318" w:rsidRDefault="00291318" w:rsidP="00ED29F1">
      <w:pPr>
        <w:pStyle w:val="Textbezodsazen"/>
      </w:pPr>
    </w:p>
    <w:p w14:paraId="03BFC14D" w14:textId="05048EC3" w:rsidR="00291318" w:rsidRDefault="00291318" w:rsidP="00ED29F1">
      <w:pPr>
        <w:pStyle w:val="Textbezodsazen"/>
      </w:pPr>
    </w:p>
    <w:p w14:paraId="1AE59294" w14:textId="5BDEEBA2" w:rsidR="00291318" w:rsidRDefault="00291318" w:rsidP="00ED29F1">
      <w:pPr>
        <w:pStyle w:val="Textbezodsazen"/>
      </w:pPr>
    </w:p>
    <w:p w14:paraId="1202884F" w14:textId="00EA5C8E" w:rsidR="00291318" w:rsidRDefault="00291318" w:rsidP="00ED29F1">
      <w:pPr>
        <w:pStyle w:val="Textbezodsazen"/>
      </w:pPr>
    </w:p>
    <w:p w14:paraId="39ED5C7F" w14:textId="3056B7A0" w:rsidR="00291318" w:rsidRDefault="00291318" w:rsidP="00ED29F1">
      <w:pPr>
        <w:pStyle w:val="Textbezodsazen"/>
      </w:pPr>
    </w:p>
    <w:p w14:paraId="09CF45FA" w14:textId="422544E9" w:rsidR="00291318" w:rsidRDefault="00291318" w:rsidP="00ED29F1">
      <w:pPr>
        <w:pStyle w:val="Textbezodsazen"/>
      </w:pPr>
    </w:p>
    <w:p w14:paraId="2AD16F1E" w14:textId="192F4322" w:rsidR="00291318" w:rsidRDefault="00291318" w:rsidP="00ED29F1">
      <w:pPr>
        <w:pStyle w:val="Textbezodsazen"/>
      </w:pPr>
    </w:p>
    <w:p w14:paraId="452F3615" w14:textId="7D3060D1" w:rsidR="00291318" w:rsidRDefault="00291318" w:rsidP="00ED29F1">
      <w:pPr>
        <w:pStyle w:val="Textbezodsazen"/>
      </w:pPr>
    </w:p>
    <w:p w14:paraId="43FF2CA9" w14:textId="3E0FB033" w:rsidR="00291318" w:rsidRDefault="00291318" w:rsidP="00ED29F1">
      <w:pPr>
        <w:pStyle w:val="Textbezodsazen"/>
      </w:pPr>
    </w:p>
    <w:p w14:paraId="7AE77734" w14:textId="77777777" w:rsidR="00291318" w:rsidRPr="00F95FBD" w:rsidRDefault="00291318" w:rsidP="00ED29F1">
      <w:pPr>
        <w:pStyle w:val="Textbezodsazen"/>
      </w:pPr>
    </w:p>
    <w:p w14:paraId="074255D8" w14:textId="77777777" w:rsidR="00ED29F1" w:rsidRPr="00F95FBD" w:rsidRDefault="00ED29F1" w:rsidP="00ED29F1">
      <w:pPr>
        <w:pStyle w:val="Textbezodsazen"/>
      </w:pPr>
    </w:p>
    <w:p w14:paraId="16E3FBF0" w14:textId="1BCBB3FA" w:rsidR="00ED29F1" w:rsidRDefault="00ED29F1" w:rsidP="00502690">
      <w:pPr>
        <w:pStyle w:val="Textbezodsazen"/>
        <w:rPr>
          <w:b/>
        </w:rPr>
      </w:pPr>
    </w:p>
    <w:p w14:paraId="70C43DF5" w14:textId="6B6FFBE9" w:rsidR="007D0118" w:rsidRDefault="007D0118" w:rsidP="00502690">
      <w:pPr>
        <w:pStyle w:val="Textbezodsazen"/>
        <w:rPr>
          <w:b/>
        </w:rPr>
      </w:pPr>
    </w:p>
    <w:p w14:paraId="42200D1C" w14:textId="3C0D059A" w:rsidR="007D0118" w:rsidRDefault="007D0118" w:rsidP="00502690">
      <w:pPr>
        <w:pStyle w:val="Textbezodsazen"/>
        <w:rPr>
          <w:b/>
        </w:rPr>
      </w:pPr>
    </w:p>
    <w:p w14:paraId="5A9CA6F5" w14:textId="3435103D" w:rsidR="007D0118" w:rsidRDefault="007D0118" w:rsidP="00502690">
      <w:pPr>
        <w:pStyle w:val="Textbezodsazen"/>
        <w:rPr>
          <w:b/>
        </w:rPr>
      </w:pPr>
    </w:p>
    <w:p w14:paraId="72BCCDEC" w14:textId="47E5C9B0" w:rsidR="007D0118" w:rsidRDefault="007D0118" w:rsidP="00502690">
      <w:pPr>
        <w:pStyle w:val="Textbezodsazen"/>
        <w:rPr>
          <w:b/>
        </w:rPr>
      </w:pPr>
    </w:p>
    <w:p w14:paraId="557742D2" w14:textId="4423689A" w:rsidR="007D0118" w:rsidRDefault="007D0118" w:rsidP="00502690">
      <w:pPr>
        <w:pStyle w:val="Textbezodsazen"/>
        <w:rPr>
          <w:b/>
        </w:rPr>
      </w:pPr>
    </w:p>
    <w:p w14:paraId="1D70B291" w14:textId="77777777" w:rsidR="007D0118" w:rsidRDefault="007D0118" w:rsidP="00502690">
      <w:pPr>
        <w:pStyle w:val="Textbezodsazen"/>
        <w:rPr>
          <w:b/>
        </w:rPr>
      </w:pPr>
    </w:p>
    <w:p w14:paraId="4344F011" w14:textId="77777777" w:rsidR="00ED29F1" w:rsidRDefault="00ED29F1" w:rsidP="00502690">
      <w:pPr>
        <w:pStyle w:val="Textbezodsazen"/>
        <w:rPr>
          <w:b/>
        </w:rPr>
      </w:pPr>
      <w:r>
        <w:rPr>
          <w:b/>
        </w:rPr>
        <w:lastRenderedPageBreak/>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3CAFA1E1" w:rsidR="002038D5" w:rsidRPr="00F95FBD" w:rsidRDefault="002038D5" w:rsidP="002038D5">
      <w:pPr>
        <w:pStyle w:val="Textbezodsazen"/>
      </w:pPr>
    </w:p>
    <w:p w14:paraId="0D548407" w14:textId="4C8BF71B" w:rsidR="002038D5" w:rsidRPr="00F95FBD" w:rsidRDefault="00291318" w:rsidP="00F762A8">
      <w:pPr>
        <w:pStyle w:val="Nadpistabulky"/>
        <w:rPr>
          <w:sz w:val="18"/>
          <w:szCs w:val="18"/>
        </w:rPr>
      </w:pPr>
      <w:r>
        <w:rPr>
          <w:sz w:val="18"/>
          <w:szCs w:val="18"/>
        </w:rPr>
        <w:t>Vedoucí prací</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43A5DB9C" w:rsidR="002038D5" w:rsidRPr="00F95FBD" w:rsidRDefault="00291318" w:rsidP="00165977">
      <w:pPr>
        <w:pStyle w:val="Nadpistabulky"/>
        <w:rPr>
          <w:sz w:val="18"/>
          <w:szCs w:val="18"/>
        </w:rPr>
      </w:pPr>
      <w:r>
        <w:rPr>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8B7737" w:rsidRDefault="002C7A28" w:rsidP="006E36DF">
            <w:pPr>
              <w:pStyle w:val="Tabulka"/>
              <w:rPr>
                <w:sz w:val="18"/>
                <w:highlight w:val="green"/>
              </w:rPr>
            </w:pPr>
            <w:r w:rsidRPr="008B7737">
              <w:rPr>
                <w:sz w:val="18"/>
                <w:highlight w:val="green"/>
              </w:rPr>
              <w:t xml:space="preserve">Pojištění </w:t>
            </w:r>
            <w:r w:rsidR="006E36DF">
              <w:rPr>
                <w:sz w:val="18"/>
                <w:highlight w:val="green"/>
              </w:rPr>
              <w:t>Služby</w:t>
            </w:r>
            <w:r w:rsidRPr="008B7737">
              <w:rPr>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1B6216DF" w:rsidR="002C7A28" w:rsidRPr="002C7A28" w:rsidRDefault="002A784C" w:rsidP="006753BA">
            <w:pPr>
              <w:pStyle w:val="Tabulka"/>
              <w:cnfStyle w:val="000000000000" w:firstRow="0" w:lastRow="0" w:firstColumn="0" w:lastColumn="0" w:oddVBand="0" w:evenVBand="0" w:oddHBand="0" w:evenHBand="0" w:firstRowFirstColumn="0" w:firstRowLastColumn="0" w:lastRowFirstColumn="0" w:lastRowLastColumn="0"/>
              <w:rPr>
                <w:sz w:val="18"/>
              </w:rPr>
            </w:pPr>
            <w:r w:rsidRPr="00AD3099">
              <w:rPr>
                <w:rFonts w:eastAsia="Times New Roman" w:cs="Calibri"/>
                <w:sz w:val="18"/>
                <w:lang w:eastAsia="cs-CZ"/>
              </w:rPr>
              <w:t>M</w:t>
            </w:r>
            <w:r w:rsidR="002C7A28" w:rsidRPr="00AD3099">
              <w:rPr>
                <w:rFonts w:eastAsia="Times New Roman" w:cs="Calibri"/>
                <w:sz w:val="18"/>
                <w:lang w:eastAsia="cs-CZ"/>
              </w:rPr>
              <w:t xml:space="preserve">inimálně </w:t>
            </w:r>
            <w:r w:rsidR="006753BA" w:rsidRPr="00AD3099">
              <w:rPr>
                <w:rFonts w:eastAsia="Times New Roman" w:cs="Calibri"/>
                <w:color w:val="000000"/>
                <w:sz w:val="18"/>
                <w:lang w:eastAsia="cs-CZ"/>
              </w:rPr>
              <w:t>6</w:t>
            </w:r>
            <w:r w:rsidR="002C7A28" w:rsidRPr="00AD3099">
              <w:rPr>
                <w:rFonts w:eastAsia="Times New Roman" w:cs="Calibri"/>
                <w:color w:val="000000"/>
                <w:sz w:val="18"/>
                <w:lang w:eastAsia="cs-CZ"/>
              </w:rPr>
              <w:t xml:space="preserve"> mil. Kč</w:t>
            </w:r>
            <w:r w:rsidR="002C7A28" w:rsidRPr="00AD3099">
              <w:rPr>
                <w:rFonts w:eastAsia="Times New Roman" w:cs="Calibri"/>
                <w:sz w:val="18"/>
                <w:lang w:eastAsia="cs-CZ"/>
              </w:rPr>
              <w:t xml:space="preserve"> na jednu pojistnou událost a </w:t>
            </w:r>
            <w:r w:rsidR="006753BA" w:rsidRPr="00AD3099">
              <w:rPr>
                <w:rFonts w:eastAsia="Times New Roman" w:cs="Calibri"/>
                <w:sz w:val="18"/>
                <w:lang w:eastAsia="cs-CZ"/>
              </w:rPr>
              <w:t>6</w:t>
            </w:r>
            <w:r w:rsidR="002C7A28" w:rsidRPr="00AD3099">
              <w:rPr>
                <w:rFonts w:eastAsia="Times New Roman" w:cs="Calibri"/>
                <w:sz w:val="18"/>
                <w:lang w:eastAsia="cs-CZ"/>
              </w:rPr>
              <w:t xml:space="preserve"> mil. Kč v úhrnu za rok</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0B319" w14:textId="77777777" w:rsidR="00964383" w:rsidRDefault="00964383" w:rsidP="00962258">
      <w:pPr>
        <w:spacing w:after="0" w:line="240" w:lineRule="auto"/>
      </w:pPr>
      <w:r>
        <w:separator/>
      </w:r>
    </w:p>
  </w:endnote>
  <w:endnote w:type="continuationSeparator" w:id="0">
    <w:p w14:paraId="7D7E1EE4" w14:textId="77777777" w:rsidR="00964383" w:rsidRDefault="009643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592C1189"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115FCF1E"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7DABF2B1"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024BDF34"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39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39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43F34F16"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3940926C"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5DE58EE5"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0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0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242C573F"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0727D780"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4D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4D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34E80" w14:textId="77777777" w:rsidR="00964383" w:rsidRDefault="00964383" w:rsidP="00962258">
      <w:pPr>
        <w:spacing w:after="0" w:line="240" w:lineRule="auto"/>
      </w:pPr>
      <w:r>
        <w:separator/>
      </w:r>
    </w:p>
  </w:footnote>
  <w:footnote w:type="continuationSeparator" w:id="0">
    <w:p w14:paraId="60342DD2" w14:textId="77777777" w:rsidR="00964383" w:rsidRDefault="009643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91318"/>
    <w:rsid w:val="002A060E"/>
    <w:rsid w:val="002A3B57"/>
    <w:rsid w:val="002A5468"/>
    <w:rsid w:val="002A784C"/>
    <w:rsid w:val="002C31BF"/>
    <w:rsid w:val="002C7A28"/>
    <w:rsid w:val="002D7FD6"/>
    <w:rsid w:val="002E0CD7"/>
    <w:rsid w:val="002E0CFB"/>
    <w:rsid w:val="002E5C7B"/>
    <w:rsid w:val="002F4333"/>
    <w:rsid w:val="002F5604"/>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5C6D"/>
    <w:rsid w:val="004078F3"/>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93B4F"/>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601A8C"/>
    <w:rsid w:val="0061068E"/>
    <w:rsid w:val="006115D3"/>
    <w:rsid w:val="006223CF"/>
    <w:rsid w:val="0065610E"/>
    <w:rsid w:val="00660AD3"/>
    <w:rsid w:val="00671778"/>
    <w:rsid w:val="006753BA"/>
    <w:rsid w:val="006776B6"/>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20F5"/>
    <w:rsid w:val="007B5279"/>
    <w:rsid w:val="007B5459"/>
    <w:rsid w:val="007B570C"/>
    <w:rsid w:val="007C7E79"/>
    <w:rsid w:val="007D0118"/>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4383"/>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3099"/>
    <w:rsid w:val="00AD5F1A"/>
    <w:rsid w:val="00AD6731"/>
    <w:rsid w:val="00AE696E"/>
    <w:rsid w:val="00B008D5"/>
    <w:rsid w:val="00B02F73"/>
    <w:rsid w:val="00B05B31"/>
    <w:rsid w:val="00B0619F"/>
    <w:rsid w:val="00B13A26"/>
    <w:rsid w:val="00B15D0D"/>
    <w:rsid w:val="00B22106"/>
    <w:rsid w:val="00B42F40"/>
    <w:rsid w:val="00B5431A"/>
    <w:rsid w:val="00B54DB1"/>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63964"/>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C948857-0F9B-44C5-8F33-D2FC2527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199</TotalTime>
  <Pages>15</Pages>
  <Words>2674</Words>
  <Characters>15783</Characters>
  <Application>Microsoft Office Word</Application>
  <DocSecurity>0</DocSecurity>
  <Lines>131</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46</cp:revision>
  <cp:lastPrinted>2019-09-27T11:09:00Z</cp:lastPrinted>
  <dcterms:created xsi:type="dcterms:W3CDTF">2020-01-31T12:27:00Z</dcterms:created>
  <dcterms:modified xsi:type="dcterms:W3CDTF">2020-04-23T07:46:00Z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